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entury Gothic" w:cs="Century Gothic" w:eastAsia="Century Gothic" w:hAnsi="Century Gothic"/>
          <w:b w:val="1"/>
          <w:sz w:val="44"/>
          <w:szCs w:val="4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44"/>
          <w:szCs w:val="44"/>
          <w:rtl w:val="0"/>
        </w:rPr>
        <w:t xml:space="preserve">HWB Activity Log</w:t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During your  online learning during the lockdown, we would like to encourage you to be physically active. Here are some ideas - try and do at least 30 minutes of exercise a day.</w:t>
      </w:r>
    </w:p>
    <w:p w:rsidR="00000000" w:rsidDel="00000000" w:rsidP="00000000" w:rsidRDefault="00000000" w:rsidRPr="00000000" w14:paraId="00000004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72"/>
        <w:gridCol w:w="1872"/>
        <w:gridCol w:w="1872"/>
        <w:gridCol w:w="1872"/>
        <w:gridCol w:w="1872"/>
        <w:tblGridChange w:id="0">
          <w:tblGrid>
            <w:gridCol w:w="1872"/>
            <w:gridCol w:w="1872"/>
            <w:gridCol w:w="1872"/>
            <w:gridCol w:w="1872"/>
            <w:gridCol w:w="187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Activity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Length of Exercise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Heart rate before exercise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Heart rate after exercise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